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gleichmäßiger Struktur hochgezogen. Die Farbe ist Quarzgrau unbesandet bis in die Masse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*220x72x52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68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77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T1</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(12/6/4)  / sEptEm + Rm (8/4/4)</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30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&lt; 8%</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&lt; 1,5 kg/(m² . min ) IW2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50/100</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0,85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sEptEm 7039</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