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gleichmäßiger Struktur hochgezogen. Die Farbe ist hell Achatgrau unbesandet bis in die Masse.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0,69 W/mK (Tabelle 1 EN1745)</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7038</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