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besandeten Formbackstein ohne Maserung mit gleichmäßiger Struktur hochgezogen.Die Farbe ist Steingrau bis in die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 Der Verblender wurde ein zweites Mal reduziert gebacken.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8 %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0,69 W/mK (Tabelle 1 EN1745)</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7030</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