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gleichmäßiger Struktur hochgezogen. Die Farbe ist beige grau bis in die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Steine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*225x75x56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62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70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14 %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&lt; 4 kg/(m² . min )  IW3</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0,60 W/mK (Tabelle 1 EN1745)</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7011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