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besandeten Formbackstein ohne Maserung mit gleichmäßiger Struktur hochgezogen.Die Farbe ist Grau-Beige bis in die Masse.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77</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0,69 W/mK (Tabelle 1 EN1745)</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1019</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