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besandeten Formbackstein ohne Maserung mit gleichmäßiger Struktur hochgezogen.Die Farbe ist Grau-Beige bis in die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77</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0,69 W/mK (Tabelle 1 EN1745)</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1019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