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besandeten Formbackstein mit rustikalem Charakter hochgezogen mit weißem und grauem Zement bleibt.Die Farbe ist nuanciert Terrakotta mit Braun-Rot.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 Der Verblender ist ein voller Formbackstein mit einer homogenen Struktur. Die Paletten enthalten 10 bis 15% halbe und dreiviertel Steine.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Verblender werden mit CE- und BENOR-Label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Stückzahl / qm mit traditioneller Fuge</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Stückzahl / qm mit traditioneller Fuge</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*217x102x65 mm</w:t>
            </w:r>
          </w:p>
        </w:tc>
        <w:tc>
          <w:p>
            <w:r>
              <w:rPr>
                <w:sz w:val="14"/>
                <w:rFonts w:ascii="Myriad Pro Light"/>
                <w:tcPr>
                  <w:vAlign w:val="center"/>
                </w:tcPr>
              </w:rPr>
              <w:t>WDF</w:t>
            </w:r>
          </w:p>
        </w:tc>
      </w:tr>
      <w:tr>
        <w:tc>
          <w:p>
            <w:r>
              <w:rPr>
                <w:sz w:val="14"/>
                <w:rFonts w:ascii="Myriad Pro Light"/>
                <w:tcPr>
                  <w:vAlign w:val="center"/>
                </w:tcPr>
              </w:rPr>
              <w:t>Stückzahl / qm mit traditioneller Fuge</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br/>
        <w:t>&lt;br&gt; &lt;br&gt;</w:t>
        <w:b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Alt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