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besandeten Formbackstein mit rustikalem Charakter hochgezogen mit weißem und grauem Zement bleibt.Die Farbe ist nuanciert Terrakotta mit Braun-Rot.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 Der Verblender ist ein voller Formbackstein mit einer homogenen Struktur. Die Paletten enthalten 10 bis 15% halbe und dreiviertel Steine.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*224x74x54 mm</w:t>
            </w:r>
          </w:p>
        </w:tc>
        <w:tc>
          <w:p>
            <w:r>
              <w:rPr>
                <w:sz w:val="14"/>
                <w:rFonts w:ascii="Myriad Pro Light"/>
                <w:tcPr>
                  <w:vAlign w:val="center"/>
                </w:tcPr>
              </w:rPr>
              <w:t>ECO-7-size</w:t>
            </w:r>
          </w:p>
        </w:tc>
      </w:tr>
      <w:tr>
        <w:tc>
          <w:p>
            <w:r>
              <w:rPr>
                <w:sz w:val="14"/>
                <w:rFonts w:ascii="Myriad Pro Light"/>
                <w:tcPr>
                  <w:vAlign w:val="center"/>
                </w:tcPr>
              </w:rPr>
              <w:t>Stückzahl / qm mit traditioneller Fuge</w:t>
            </w:r>
          </w:p>
        </w:tc>
        <w:tc>
          <w:p>
            <w:r>
              <w:rPr>
                <w:sz w:val="14"/>
                <w:rFonts w:ascii="Myriad Pro Light"/>
                <w:tcPr>
                  <w:vAlign w:val="center"/>
                </w:tcPr>
              </w:rPr>
              <w:t>ca. 65 (12 mm) </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*192x92x52 mm</w:t>
            </w:r>
          </w:p>
        </w:tc>
        <w:tc>
          <w:p>
            <w:r>
              <w:rPr>
                <w:sz w:val="14"/>
                <w:rFonts w:ascii="Myriad Pro Light"/>
                <w:tcPr>
                  <w:vAlign w:val="center"/>
                </w:tcPr>
              </w:rPr>
              <w:t>M50</w:t>
            </w:r>
          </w:p>
        </w:tc>
      </w:tr>
      <w:tr>
        <w:tc>
          <w:p>
            <w:r>
              <w:rPr>
                <w:sz w:val="14"/>
                <w:rFonts w:ascii="Myriad Pro Light"/>
                <w:tcPr>
                  <w:vAlign w:val="center"/>
                </w:tcPr>
              </w:rPr>
              <w:t>Stückzahl / qm mit traditioneller Fuge</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*217x102x65 mm</w:t>
            </w:r>
          </w:p>
        </w:tc>
        <w:tc>
          <w:p>
            <w:r>
              <w:rPr>
                <w:sz w:val="14"/>
                <w:rFonts w:ascii="Myriad Pro Light"/>
                <w:tcPr>
                  <w:vAlign w:val="center"/>
                </w:tcPr>
              </w:rPr>
              <w:t>WDF</w:t>
            </w:r>
          </w:p>
        </w:tc>
      </w:tr>
      <w:tr>
        <w:tc>
          <w:p>
            <w:r>
              <w:rPr>
                <w:sz w:val="14"/>
                <w:rFonts w:ascii="Myriad Pro Light"/>
                <w:tcPr>
                  <w:vAlign w:val="center"/>
                </w:tcPr>
              </w:rPr>
              <w:t>Stückzahl / qm mit traditioneller Fuge</w:t>
            </w:r>
          </w:p>
        </w:tc>
        <w:tc>
          <w:p>
            <w:r>
              <w:rPr>
                <w:sz w:val="14"/>
                <w:rFonts w:ascii="Myriad Pro Light"/>
                <w:tcPr>
                  <w:vAlign w:val="center"/>
                </w:tcPr>
              </w:rPr>
              <w:t>ca. 57</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Alt Kwaeremont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