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 BESCHAFFENHEIT, ART UND FARBE</w:t>
      </w:r>
    </w:p>
    <w:p w:rsidR="00E47813" w:rsidP="00901CEA" w:rsidRDefault="00094E90" w14:paraId="2ECC4485" w14:textId="1F14E6AC">
      <w:pPr>
        <w:spacing w:before="5" w:line="264" w:lineRule="auto"/>
        <w:ind w:left="464" w:right="602"/>
        <w:rPr>
          <w:sz w:val="16"/>
        </w:rPr>
      </w:pPr>
      <w:r>
        <w:rPr>
          <w:noProof/>
          <w:color w:val="111111"/>
          <w:sz w:val="16"/>
        </w:rPr>
        <w:t>Das dekorative Mauerwerk (Innen- und/oder Außenverkleidung) wird mit einem vollen unbesandeten Formbackstein ohne Maserung mit Struktur hochgezogen.  Durch die natürliche Reduktion mit Steinkohle und natürlichen Mineralien können einige Verblender ein leicht unregelmäßiges Feldbrandaussehen haben. Einige Sichtseiten des Steins enthalten auch Steinkohlereste und Spuren des manuellen Ansatzes.</w:t>
      </w:r>
    </w:p>
    <w:p w:rsidR="00E47813" w:rsidRDefault="00E47813" w14:paraId="6D6D739C" w14:textId="77777777">
      <w:pPr>
        <w:pStyle w:val="Plattetekst"/>
        <w:spacing w:before="1"/>
        <w:rPr>
          <w:sz w:val="22"/>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Verblender werden mit CE- und BENOR-Label geliefert und weisen folgende Merkmale auf: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771-1: 2011 + A1: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*224x73x54 mm</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VERARBEITUNGSRICHTLINIEN</w:t>
      </w:r>
    </w:p>
    <w:p w:rsidR="005C795D" w:rsidP="005C795D" w:rsidRDefault="005C795D" w14:paraId="34B27BA9" w14:textId="13CF925E">
      <w:pPr>
        <w:spacing w:before="5" w:line="264" w:lineRule="auto"/>
        <w:ind w:left="464" w:right="602"/>
        <w:rPr>
          <w:sz w:val="16"/>
        </w:rPr>
      </w:pPr>
      <w:r>
        <w:rPr>
          <w:noProof/>
          <w:sz w:val="16"/>
        </w:rPr>
        <w:t>Die Backsteine werden bei der Verarbeitung aus 5 verschiedenen Paketen gemischt. Die Steine werden Turm für Turm gestapelt. Die Bestimmung der richtigen Mörtelzusammensetzung erfolgt in Abstimmung mit dem Mörtellieferanten. Frisches Mauerwerk muss grundsätzlich geschützt werden.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*Abmessungen können abhängig von der Produktion variieren. Aktuellste Version siehe www.vandemoortel.de. Dieses Dokument ist nicht bindend und ersetzt alle früheren Publikationen. Der Hersteller behält sich das Recht vor, Produktsortiment und -merkmale zu ändern. Der Benutzer muss sich vergewissern, dass er über den neuesten Beschreibungstext verfügt.</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Nature7 MIX</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VERBLENDER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