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 BESCHAFFENHEIT, ART UND FARBE</w:t>
      </w:r>
    </w:p>
    <w:p w:rsidR="00E47813" w:rsidP="00901CEA" w:rsidRDefault="00094E90" w14:paraId="2ECC4485" w14:textId="1F14E6AC">
      <w:pPr>
        <w:spacing w:before="5" w:line="264" w:lineRule="auto"/>
        <w:ind w:left="464" w:right="602"/>
        <w:rPr>
          <w:sz w:val="16"/>
        </w:rPr>
      </w:pPr>
      <w:r>
        <w:rPr>
          <w:noProof/>
          <w:color w:val="111111"/>
          <w:sz w:val="16"/>
        </w:rPr>
        <w:t>Das dekorative Mauerwerk (Innen- und/oder Außenverkleidung) wird mit einem vollen unbesandeten Formbackstein ohne Maserung mit Struktur hochgezogen.  Durch die natürliche Reduktion mit Steinkohle und natürlichen Mineralien können einige Verblender ein leicht unregelmäßiges Feldbrandaussehen haben. Einige Sichtseiten des Steins enthalten auch Steinkohlereste und Spuren des manuellen Ansatzes.Die Farbe ist vorwiegend Grau in der Masse.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ROHSTOFF &amp; PRODUKTION &amp; ANSICHTEN</w:t>
      </w:r>
    </w:p>
    <w:p w:rsidR="00E47813" w:rsidP="00901CEA" w:rsidRDefault="00094E90" w14:paraId="63F168BE" w14:textId="0991ECCE">
      <w:pPr>
        <w:spacing w:before="5" w:line="264" w:lineRule="auto"/>
        <w:ind w:left="464" w:right="463"/>
        <w:rPr>
          <w:sz w:val="16"/>
        </w:rPr>
      </w:pPr>
      <w:r>
        <w:rPr>
          <w:noProof/>
          <w:color w:val="111111"/>
          <w:sz w:val="16"/>
        </w:rPr>
        <w:t>Dieses vollständig natürliche Produkt besteht aus alluvialem Ton aus dem Quartär aus dem Scheldebecken. Der Stein wird in einer unbesandeten Form durch Einbringen eines Klumpens Ton geformt und bei mindestens 1150 °C gebacken.  Der Verblender ist ein voller Formbackstein mit einer geringen Struktur. Er ist frei von Kalk und anderen Einschlüssen und weist mindestens einen Läufer und einen Kopf auf, die frei von Rissen oder anderen äußeren Merkmalen sind, die das allgemeine Erscheinungsbild des Mauerwerks beeinträchtigen. Der Verblender wurde ein zweites Mal reduziert gebacken.</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Verblender werden mit CE- und BENOR-Label geliefert und weisen folgende Merkmale auf: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771-1: 2011 + A1: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*225x74x54 mm</w:t>
            </w:r>
          </w:p>
        </w:tc>
        <w:tc>
          <w:p>
            <w:r>
              <w:rPr>
                <w:sz w:val="14"/>
                <w:rFonts w:ascii="Myriad Pro Light"/>
                <w:tcPr>
                  <w:vAlign w:val="center"/>
                </w:tcPr>
              </w:rPr>
              <w:t/>
            </w:r>
          </w:p>
        </w:tc>
      </w:tr>
      <w:tr>
        <w:tc>
          <w:p>
            <w:r>
              <w:rPr>
                <w:sz w:val="14"/>
                <w:rFonts w:ascii="Myriad Pro Light"/>
                <w:tcPr>
                  <w:vAlign w:val="center"/>
                </w:tcPr>
              </w:rPr>
              <w:t>Stückzahl / qm mit traditioneller Fuge</w:t>
            </w:r>
          </w:p>
        </w:tc>
        <w:tc>
          <w:p>
            <w:r>
              <w:rPr>
                <w:sz w:val="14"/>
                <w:rFonts w:ascii="Myriad Pro Light"/>
                <w:tcPr>
                  <w:vAlign w:val="center"/>
                </w:tcPr>
              </w:rPr>
              <w:t>ca. 64 (12 mm)</w:t>
            </w:r>
          </w:p>
        </w:tc>
        <w:tc>
          <w:p>
            <w:r>
              <w:rPr>
                <w:sz w:val="14"/>
                <w:rFonts w:ascii="Myriad Pro Light"/>
                <w:tcPr>
                  <w:vAlign w:val="center"/>
                </w:tcPr>
              </w:rPr>
              <w:t/>
            </w:r>
          </w:p>
        </w:tc>
      </w:tr>
      <w:tr>
        <w:tc>
          <w:p>
            <w:r>
              <w:rPr>
                <w:sz w:val="14"/>
                <w:rFonts w:ascii="Myriad Pro Light"/>
                <w:tcPr>
                  <w:vAlign w:val="center"/>
                </w:tcPr>
              </w:rPr>
              <w:t>Stückzahl / qm mit dünner Fuge</w:t>
            </w:r>
          </w:p>
        </w:tc>
        <w:tc>
          <w:p>
            <w:r>
              <w:rPr>
                <w:sz w:val="14"/>
                <w:rFonts w:ascii="Myriad Pro Light"/>
                <w:tcPr>
                  <w:vAlign w:val="center"/>
                </w:tcPr>
              </w:rPr>
              <w:t>ca. 73 (6 mm)</w:t>
            </w:r>
          </w:p>
        </w:tc>
        <w:tc>
          <w:p>
            <w:r>
              <w:rPr>
                <w:sz w:val="14"/>
                <w:rFonts w:ascii="Myriad Pro Light"/>
                <w:tcPr>
                  <w:vAlign w:val="center"/>
                </w:tcPr>
              </w:rPr>
              <w:t/>
            </w:r>
          </w:p>
        </w:tc>
      </w:tr>
      <w:tr>
        <w:tc>
          <w:p>
            <w:r>
              <w:rPr>
                <w:sz w:val="14"/>
                <w:rFonts w:ascii="Myriad Pro Light"/>
                <w:tcPr>
                  <w:vAlign w:val="center"/>
                </w:tcPr>
              </w:rPr>
              <w:t>Größentoleranz</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Größenverteilung</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Bruttovolumenmasse</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Durchschnittliche normalisierte Druckfestigkeit (Kat.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 Wasseraufnahme (24 Stunden)</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Anfängliche Wasseraufnahme (1 Minute)</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 Wasserdampfdurchlässigkeit</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Thermische Eigenschaften (λ10, trocken, 90/90)</w:t>
            </w:r>
          </w:p>
        </w:tc>
        <w:tc>
          <w:p>
            <w:r>
              <w:rPr>
                <w:sz w:val="14"/>
                <w:rFonts w:ascii="Myriad Pro Light"/>
                <w:tcPr>
                  <w:vAlign w:val="center"/>
                </w:tcPr>
              </w:rPr>
              <w:t>0,54 W/mK (Tabelle 1 EN1745) </w:t>
            </w:r>
          </w:p>
        </w:tc>
        <w:tc>
          <w:p>
            <w:r>
              <w:rPr>
                <w:sz w:val="14"/>
                <w:rFonts w:ascii="Myriad Pro Light"/>
                <w:tcPr>
                  <w:vAlign w:val="center"/>
                </w:tcPr>
              </w:rPr>
              <w:t/>
            </w:r>
          </w:p>
        </w:tc>
      </w:tr>
      <w:tr>
        <w:tc>
          <w:p>
            <w:r>
              <w:rPr>
                <w:sz w:val="14"/>
                <w:rFonts w:ascii="Myriad Pro Light"/>
                <w:tcPr>
                  <w:vAlign w:val="center"/>
                </w:tcPr>
              </w:rPr>
              <w:t>Haltbarkeit (Frost / Tau / Beständigkeit)</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Aktiv lösliche Salze</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Feuerreaktion</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Klebkraft (gemäß EN998-2: 2003 Anhang C)</w:t>
            </w:r>
          </w:p>
        </w:tc>
        <w:tc>
          <w:p>
            <w:r>
              <w:rPr>
                <w:sz w:val="14"/>
                <w:rFonts w:ascii="Myriad Pro Light"/>
                <w:tcPr>
                  <w:vAlign w:val="center"/>
                </w:tcPr>
              </w:rPr>
              <w:t>NPD (no performance determined/ keine leistung festgestellt)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VERARBEITUNGSRICHTLINIEN</w:t>
      </w:r>
    </w:p>
    <w:p w:rsidR="005C795D" w:rsidP="005C795D" w:rsidRDefault="005C795D" w14:paraId="34B27BA9" w14:textId="13CF925E">
      <w:pPr>
        <w:spacing w:before="5" w:line="264" w:lineRule="auto"/>
        <w:ind w:left="464" w:right="602"/>
        <w:rPr>
          <w:sz w:val="16"/>
        </w:rPr>
      </w:pPr>
      <w:r>
        <w:rPr>
          <w:noProof/>
          <w:sz w:val="16"/>
        </w:rPr>
        <w:t>Die Backsteine werden bei der Verarbeitung aus 5 verschiedenen Paketen gemischt. Die Steine werden Turm für Turm gestapelt. Die Bestimmung der richtigen Mörtelzusammensetzung erfolgt in Abstimmung mit dem Mörtellieferanten. Frisches Mauerwerk muss grundsätzlich geschützt werden.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*Abmessungen können abhängig von der Produktion variieren. Aktuellste Version siehe www.vandemoortel.de. Dieses Dokument ist nicht bindend und ersetzt alle früheren Publikationen. Der Hersteller behält sich das Recht vor, Produktsortiment und -merkmale zu ändern. Der Benutzer muss sich vergewissern, dass er über den neuesten Beschreibungstext verfügt.</w:t>
        <w:br/>
        <w:t>&lt;br&gt; &lt;br&gt;</w:t>
        <w:br/>
        <w:t>Bei einer Stichprobe von 100 Steinen werden mindestens 90 Steine einen unbeschädigten Kopf und einen unbeschädigten Läufer  anzeigen.  Die Anzahl von fehlerhaften Steinen darf die 5 % nicht überschreiten. Wobei Folgendes als fehlerhaft betrachtet wird; Einschlüsse, die durch Anschwellung zur Abblätterung der Steinoberfläche führen kann, Risse mit einer Breite von =0,2mm auf  mindestens 2 Kanten). Beschädigungen und Fehler sollten vor der Verarbeitung gemeldet werden. </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Produktfoto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Brick R</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27-10-2026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VERBLENDER</w:t>
                          </w:r>
                        </w:p>
                        <w:p w:rsidR="00E47813" w:rsidP="00F25199" w:rsidRDefault="00F25199" w14:paraId="5307D23C" w14:textId="65506BBA">
                          <w:pPr>
                            <w:spacing w:before="9"/>
                            <w:ind w:left="340"/>
                            <w:rPr>
                              <w:sz w:val="18"/>
                            </w:rPr>
                          </w:pPr>
                          <w:r>
                            <w:rPr>
                              <w:noProof/>
                              <w:color w:val="FFFFFF"/>
                              <w:sz w:val="18"/>
                            </w:rPr>
                            <w:t>KATEGORIE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