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unbesandeten Formbackstein mit frog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Creme in der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Formbackstein mit Frog und einer geringen Struktur. Er ist frei von Kalk und anderen Einschlüssen und weist mindestens einen Läufer und einen Kopf auf, die frei von Rissen oder anderen äußeren Merkmalen sind, die das allgemeine Erscheinungsbild des Mauerwerks beeinträchtigen. Dieses vollständig natürliche Produkt besteht aus alluvialem Ton aus dem Quartär aus dem Scheldebecken. Der Stein wird in einer unbesandeten Form durch Einbringen eines Klumpens Ton geformt und bei mindestens 1150 °C gebacken.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66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