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unbesandeten Formbackstein mit frog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Creme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unbesandeten Form durch Einbringen eines Klumpens Ton geformt und bei mindestens 1150 °C gebacken.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