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unbesandeten Formbackstein mit frog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Rot in der Masse, Rot-Braun bis Rot-Blau.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unbesandeten Form durch Einbringen eines Klumpens Ton geformt und bei mindestens 1150 °C gebacken.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O</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