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vollen besandeten Formbackstein ohne Maserung mit gleichmäßiger Struktur hochgezogen.Die Farbe ist Cremeweiß bis in die Masse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Dieses vollständig natürliche Produkt besteht aus alluvialem Ton aus dem Quartär aus dem Scheldebecken. Der Stein wird in einer unbesandeten Form durch Einbringen eines Klumpens Ton geformt und bei mindestens 1150 °C gebacken.  Der Verblender ist ein voller Formbackstein mit einer geringen Struktur. Er ist frei von Kalk und anderen Einschlüssen und weist mindestens einen Läufer und einen Kopf auf, die frei von Rissen oder anderen äußeren Merkmalen sind, die das allgemeine Erscheinungsbild des Mauerwerks beeinträchtigen.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Steine werden mit CE-Label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*245x75x38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78 (12 mm)</w:t>
            </w:r>
          </w:p>
        </w:tc>
        <w:tc>
          <w:p>
            <w:r>
              <w:rPr>
                <w:sz w:val="14"/>
                <w:rFonts w:ascii="Myriad Pro Light"/>
                <w:tcPr>
                  <w:vAlign w:val="center"/>
                </w:tcPr>
              </w:rPr>
              <w:t/>
            </w:r>
          </w:p>
        </w:tc>
      </w:tr>
      <w:tr>
        <w:tc>
          <w:p>
            <w:r>
              <w:rPr>
                <w:sz w:val="14"/>
                <w:rFonts w:ascii="Myriad Pro Light"/>
                <w:tcPr>
                  <w:vAlign w:val="center"/>
                </w:tcPr>
              </w:rPr>
              <w:t>Stückzahl / qm mit dünner Fuge</w:t>
            </w:r>
          </w:p>
        </w:tc>
        <w:tc>
          <w:p>
            <w:r>
              <w:rPr>
                <w:sz w:val="14"/>
                <w:rFonts w:ascii="Myriad Pro Light"/>
                <w:tcPr>
                  <w:vAlign w:val="center"/>
                </w:tcPr>
              </w:rPr>
              <w:t>ca. 91 (6 mm)</w:t>
            </w:r>
          </w:p>
        </w:tc>
        <w:tc>
          <w:p>
            <w:r>
              <w:rPr>
                <w:sz w:val="14"/>
                <w:rFonts w:ascii="Myriad Pro Light"/>
                <w:tcPr>
                  <w:vAlign w:val="center"/>
                </w:tcPr>
              </w:rPr>
              <w:t/>
            </w:r>
          </w:p>
        </w:tc>
      </w:tr>
      <w:tr>
        <w:tc>
          <w:p>
            <w:r>
              <w:rPr>
                <w:sz w:val="14"/>
                <w:rFonts w:ascii="Myriad Pro Light"/>
                <w:tcPr>
                  <w:vAlign w:val="center"/>
                </w:tcPr>
              </w:rPr>
              <w:t>Größentoleranz</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Größenverteilung</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1900 Kg/m³ (+/- 20%)</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 &lt; 12 % </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&lt; 1,5 kg/(m² . min) IW2</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0,60 W/mK (Tabelle 1 EN1745)</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9002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