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gleichmäßiger Struktur hochgezogen. Die Farbe ist Hellgrau bis in die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 Der Verblender wurde ein zweites Mal reduziert gebacken.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Steine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91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&lt; 1,5 kg/(m² . min) IW2</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0,60 W/mK (Tabelle 1 EN1745)</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7045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