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Ansatzes.Die Farbe ist in der Masse graugrün nuanciert und hat eine nuancierte, unregelmäßige grauschwarze Oberflächtentextur.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 Der Verblender wurde ein zweites Mal reduziert gebacken.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Steine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*246x75x38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&gt; 1,5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0,60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7036</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