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rot in der Masse und stark nuanciert von rot, rotbraun bis blauviolett.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*500x100x38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40</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45</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3003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