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rot in der Masse und stark nuanciert von rot, rotbraun bis blauviolett.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*500x100x38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40</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45</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3003</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