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Schwarz-Braun-Rot nuanciert.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 NBN EN 771</w:t>
            </w:r>
          </w:p>
        </w:tc>
        <w:tc>
          <w:p>
            <w:r>
              <w:rPr>
                <w:sz w:val="14"/>
                <w:rFonts w:ascii="Myriad Pro Light"/>
                <w:tcPr>
                  <w:vAlign w:val="center"/>
                </w:tcPr>
              </w:rPr>
              <w:t>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Rutschfestigkeit</w:t>
            </w:r>
          </w:p>
        </w:tc>
        <w:tc>
          <w:p>
            <w:r>
              <w:rPr>
                <w:sz w:val="14"/>
                <w:rFonts w:ascii="Myriad Pro Light"/>
                <w:tcPr>
                  <w:vAlign w:val="center"/>
                </w:tcPr>
              </w:rPr>
              <w:t>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Maßtoleranz*</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einem geeigneten wasserdurchlässigen Fugenmaterial mit einem Durchlässigkeitsbeiwert &gt; 5,4*10-5 m/s bedeckt.</w:t>
        <w:br/>
        <w:t>Kontrollieren Sie im Vorfeld die Filterstabilität des Fugensands in Bezug zur Bettung. Dieser 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Fugensand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C1616">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739B4C5C">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MATERIALIEN</w:t>
      </w:r>
      <w:r w:rsidR="004C1616">
        <w:rPr>
          <w:color w:val="111111"/>
        </w:rPr>
        <w:br/>
      </w:r>
    </w:p>
    <w:p w:rsidR="00420024" w:rsidP="00420024" w:rsidRDefault="00420024" w14:paraId="39DB7440" w14:textId="5F7FF1FA">
      <w:pPr>
        <w:pStyle w:val="Kop1"/>
      </w:pPr>
      <w:r>
        <w:rPr>
          <w:noProof/>
          <w:color w:val="111111"/>
        </w:rPr>
        <w:t>Fugenfüllung</w:t>
      </w:r>
    </w:p>
    <w:p w:rsidR="00420024" w:rsidP="00420024" w:rsidRDefault="00420024" w14:paraId="33079158" w14:textId="27CD6B19">
      <w:pPr>
        <w:spacing w:before="5" w:line="264" w:lineRule="auto"/>
        <w:ind w:left="464" w:right="463"/>
        <w:rPr>
          <w:color w:val="111111"/>
          <w:sz w:val="16"/>
        </w:rPr>
      </w:pPr>
      <w:r>
        <w:rPr>
          <w:noProof/>
          <w:color w:val="111111"/>
          <w:sz w:val="16"/>
        </w:rPr>
        <w:t>Der Fugensand ist ein natürlicher reiner Brechsand, der über Zerkleinerungsverfahren aus Naturstein hergestellt wird. Seine natürliche Form ist eckig und scharfkantig und er enthält im Optimalfall keine feinen Partikel kleiner als 0,063 mm oder der Gehalt beträgt maximal &lt; 3 % (NBN EN 933-1) bei Dmax ≤ 2 mm. </w:t>
        <w:br/>
        <w:t>Die Qualität der Granulate ist für den Erhalt der Wasserdurchlässigkeit wichtig. Dies bedeutet, dass nach den technischen Vorschriften für Granulate PTV 411 der Los Angeles-Koeffizient (LA – Widerstand gegen Zertrümmerung) nicht größer als 20 sein darf und der Micro-Deval-Koeffizient (MDE – Widerstand gegen Verschleiß) nicht größer als 15. Die Farbe ist Dunkelgrau bis Anthrazit. </w:t>
      </w:r>
      <w:r w:rsidR="004C1616">
        <w:rPr>
          <w:color w:val="111111"/>
          <w:sz w:val="16"/>
        </w:rPr>
        <w:br/>
      </w:r>
    </w:p>
    <w:p w:rsidR="00420024" w:rsidP="00420024" w:rsidRDefault="00420024" w14:paraId="1D7F5DC9" w14:textId="183C105C">
      <w:pPr>
        <w:pStyle w:val="Kop1"/>
      </w:pPr>
      <w:r>
        <w:rPr>
          <w:noProof/>
          <w:color w:val="111111"/>
        </w:rPr>
        <w:t>Bettung</w:t>
      </w:r>
    </w:p>
    <w:p w:rsidR="00420024" w:rsidP="00420024" w:rsidRDefault="00420024" w14:paraId="3A3DAA68" w14:textId="0E92535C">
      <w:pPr>
        <w:spacing w:before="5" w:line="264" w:lineRule="auto"/>
        <w:ind w:left="464" w:right="463"/>
        <w:rPr>
          <w:color w:val="111111"/>
          <w:sz w:val="16"/>
        </w:rPr>
      </w:pPr>
      <w:r>
        <w:rPr>
          <w:noProof/>
          <w:color w:val="111111"/>
          <w:sz w:val="16"/>
        </w:rPr>
        <w:t>Für die Bettung wird Brechsand der Fraktion 2/4 oder Splitt der Fraktion 2/6,2 empfohlen. Die Qualität der Granulate ist für den Erhalt der Wasserdurchlässigkeit wichtig. Dies bedeutet, dass der Los Angeles-Koeffizient (LA – Widerstand gegen Zertrümmerung) nicht größer als 20 sein darf und der Micro-Deval-Koeffizient (MDE – Widerstand gegen Verschleiß) nicht größer als 15.</w:t>
      </w:r>
      <w:r w:rsidR="004C1616">
        <w:rPr>
          <w:color w:val="111111"/>
          <w:sz w:val="16"/>
        </w:rPr>
        <w:br/>
      </w:r>
    </w:p>
    <w:p w:rsidR="00420024" w:rsidP="00420024" w:rsidRDefault="00420024" w14:paraId="01E44E98" w14:textId="13A1EE1A">
      <w:pPr>
        <w:pStyle w:val="Kop1"/>
      </w:pPr>
      <w:r>
        <w:rPr>
          <w:noProof/>
          <w:color w:val="111111"/>
        </w:rPr>
        <w:t>Wasserdurchlässige Schottertragschicht</w:t>
      </w:r>
    </w:p>
    <w:p w:rsidR="00420024" w:rsidP="00420024" w:rsidRDefault="00486244" w14:paraId="2EA7C588" w14:textId="1E94A985">
      <w:pPr>
        <w:spacing w:before="5" w:line="264" w:lineRule="auto"/>
        <w:ind w:left="464"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C1616">
        <w:rPr>
          <w:color w:val="111111"/>
          <w:sz w:val="16"/>
        </w:rPr>
        <w:br/>
      </w:r>
    </w:p>
    <w:p w:rsidR="00420024" w:rsidP="00420024" w:rsidRDefault="00A7202C" w14:paraId="2989DB2A" w14:textId="443D9036">
      <w:pPr>
        <w:pStyle w:val="Kop1"/>
      </w:pPr>
      <w:r>
        <w:rPr>
          <w:noProof/>
          <w:color w:val="111111"/>
        </w:rPr>
        <w:t>Zusätzlich bei Verwendung von wasserdurchlässigem Magerbeton </w:t>
      </w:r>
    </w:p>
    <w:p w:rsidR="00420024" w:rsidP="00420024" w:rsidRDefault="00A7202C" w14:paraId="28A99EF8" w14:textId="48381687">
      <w:pPr>
        <w:spacing w:before="5" w:line="264" w:lineRule="auto"/>
        <w:ind w:left="464"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C1616">
        <w:rPr>
          <w:color w:val="111111"/>
          <w:sz w:val="16"/>
        </w:rPr>
        <w:br/>
      </w:r>
    </w:p>
    <w:p w:rsidR="00A6253F" w:rsidP="00A6253F" w:rsidRDefault="00705467" w14:paraId="501FAD92" w14:textId="6A43D092">
      <w:pPr>
        <w:pStyle w:val="Kop1"/>
      </w:pPr>
      <w:r>
        <w:rPr>
          <w:noProof/>
          <w:color w:val="111111"/>
        </w:rPr>
        <w:t>Untere Tragschicht aus wasserdurchlässigem Schotter</w:t>
      </w:r>
    </w:p>
    <w:p w:rsidR="00A6253F" w:rsidP="00A6253F" w:rsidRDefault="00705467" w14:paraId="42B5B64E" w14:textId="2AC51043">
      <w:pPr>
        <w:spacing w:before="5" w:line="264" w:lineRule="auto"/>
        <w:ind w:left="464"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C1616">
        <w:rPr>
          <w:color w:val="111111"/>
          <w:sz w:val="16"/>
        </w:rPr>
        <w:br/>
      </w:r>
    </w:p>
    <w:p w:rsidR="00420024" w:rsidP="00420024" w:rsidRDefault="00420024" w14:paraId="3183A4BB" w14:textId="1FC92B9E">
      <w:pPr>
        <w:pStyle w:val="Kop1"/>
      </w:pPr>
      <w:r>
        <w:rPr>
          <w:noProof/>
          <w:color w:val="111111"/>
        </w:rPr>
        <w:t>Geotextil – Geogitter</w:t>
      </w:r>
    </w:p>
    <w:p w:rsidR="00420024" w:rsidP="00420024" w:rsidRDefault="00420024" w14:paraId="22536863" w14:textId="650D9E4C">
      <w:pPr>
        <w:spacing w:before="5" w:line="264" w:lineRule="auto"/>
        <w:ind w:left="464"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br/>
        <w:t/>
      </w:r>
      <w:r w:rsidR="004C1616">
        <w:rPr>
          <w:color w:val="111111"/>
          <w:sz w:val="16"/>
        </w:rPr>
        <w:br/>
      </w:r>
    </w:p>
    <w:p w:rsidR="00420024" w:rsidP="00420024" w:rsidRDefault="00420024" w14:paraId="63EC144F" w14:textId="7158E889">
      <w:pPr>
        <w:pStyle w:val="Kop1"/>
      </w:pPr>
      <w:r>
        <w:rPr>
          <w:noProof/>
          <w:color w:val="111111"/>
        </w:rPr>
        <w:t>INSTANDHALTUNG</w:t>
      </w:r>
    </w:p>
    <w:p w:rsidR="00420024" w:rsidP="00420024" w:rsidRDefault="00420024" w14:paraId="72D3FF1A" w14:textId="220BCBCF">
      <w:pPr>
        <w:spacing w:before="5" w:line="264" w:lineRule="auto"/>
        <w:ind w:left="464"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Auch eine Reinigungsmaschine für offenporigen Asphalt (OPA) kann eingesetzt werden.</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Melange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05-05-2026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