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Camargue,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Grau-Gelb.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besandeten und unbesandeten Form zur vollen Masse geformt, aus Ton alluvialer Herkunft aus einem Gebiet im Scheldebecken gepresst und in einem Tunnelofen bei einer Temperatur von etwa 1180°C gebrannt. Die Klinker haben auf der Schmalseite eine besandete und unbesandeten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Camargue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