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Terrestre,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*210x50x103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Abmessungen (L x B x H)</w:t>
            </w:r>
          </w:p>
        </w:tc>
        <w:tc>
          <w:p>
            <w:r>
              <w:rPr>
                <w:sz w:val="14"/>
                <w:rFonts w:ascii="Myriad Pro Light"/>
                <w:tcPr>
                  <w:vAlign w:val="center"/>
                </w:tcPr>
              </w:rPr>
              <w:t>*210x67x103 mm</w:t>
            </w:r>
          </w:p>
        </w:tc>
        <w:tc>
          <w:p>
            <w:r>
              <w:rPr>
                <w:sz w:val="14"/>
                <w:rFonts w:ascii="Myriad Pro Light"/>
                <w:tcPr>
                  <w:vAlign w:val="center"/>
                </w:tcPr>
              </w:rPr>
              <w:t>auf anfrage für Projekte &gt; 2000 m²</w:t>
            </w:r>
          </w:p>
        </w:tc>
      </w:tr>
      <w:tr>
        <w:tc>
          <w:p>
            <w:r>
              <w:rPr>
                <w:sz w:val="14"/>
                <w:rFonts w:ascii="Myriad Pro Light"/>
                <w:tcPr>
                  <w:vAlign w:val="center"/>
                </w:tcPr>
              </w:rPr>
              <w:t>Stückzahl / qm mit traditioneller Fuge</w:t>
            </w:r>
          </w:p>
        </w:tc>
        <w:tc>
          <w:p>
            <w:r>
              <w:rPr>
                <w:sz w:val="14"/>
                <w:rFonts w:ascii="Myriad Pro Light"/>
                <w:tcPr>
                  <w:vAlign w:val="center"/>
                </w:tcPr>
              </w:rPr>
              <w:t>ca. 68</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WasseraufnahmeNBN EN 771</w:t>
            </w:r>
          </w:p>
        </w:tc>
        <w:tc>
          <w:p>
            <w:r>
              <w:rPr>
                <w:sz w:val="14"/>
                <w:rFonts w:ascii="Myriad Pro Light"/>
                <w:tcPr>
                  <w:vAlign w:val="center"/>
                </w:tcPr>
              </w:rPr>
              <w:t>Klasse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Klasse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Klasse 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Maßtoleranz</w:t>
            </w:r>
          </w:p>
        </w:tc>
        <w:tc>
          <w:p>
            <w:r>
              <w:rPr>
                <w:sz w:val="14"/>
                <w:rFonts w:ascii="Myriad Pro Light"/>
                <w:tcPr>
                  <w:vAlign w:val="center"/>
                </w:tcPr>
              </w:rPr>
              <w:t>Klasse R1</w:t>
            </w:r>
          </w:p>
        </w:tc>
        <w:tc>
          <w:p>
            <w:r>
              <w:rPr>
                <w:sz w:val="14"/>
                <w:rFonts w:ascii="Myriad Pro Light"/>
                <w:tcPr>
                  <w:vAlign w:val="center"/>
                </w:tcPr>
              </w:rPr>
              <w:t>± 0,4 √d</w:t>
            </w:r>
          </w:p>
        </w:tc>
        <w:tc>
          <w:p>
            <w:r>
              <w:rPr>
                <w:sz w:val="14"/>
                <w:rFonts w:ascii="Myriad Pro Light"/>
                <w:tcPr>
                  <w:vAlign w:val="center"/>
                </w:tcPr>
              </w:rPr>
              <w:t>0,6 √d</w:t>
            </w:r>
          </w:p>
        </w:tc>
      </w:tr>
      <w:tr>
        <w:tc>
          <w:p>
            <w:r>
              <w:rPr>
                <w:sz w:val="14"/>
                <w:rFonts w:ascii="Myriad Pro Light"/>
                <w:tcPr>
                  <w:vAlign w:val="center"/>
                </w:tcPr>
              </w:rPr>
              <w:t>Rutschfestigkeit</w:t>
            </w:r>
          </w:p>
        </w:tc>
        <w:tc>
          <w:p>
            <w:r>
              <w:rPr>
                <w:sz w:val="14"/>
                <w:rFonts w:ascii="Myriad Pro Light"/>
                <w:tcPr>
                  <w:vAlign w:val="center"/>
                </w:tcPr>
              </w:rPr>
              <w:t>Klasse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