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Die Farbe ist Gelb.</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unbesandete Form zur vollen Masse geformt, aus Ton</w:t>
        <w:br/>
        <w:t>alluvialer Herkunft aus einem Gebiet im Scheldebecken gepresst und in einem Tunnelofen bei einer Temperatur von etwa 1180°C gebrannt. Die Klinker haben auf der Schmalseite eine unbesandete Oberflächenstruktur.  Die Form ist leicht unregelmäßig. Abschließend werden die Klinker bearbeitet, bis sie eine verwitterte Form erhalten haben, sodass die Klinkerfläche einen rustikalen, gealterten Eindruck vermittelt.</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Benor-Kennzeichen und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*212x51x104 mm</w:t>
            </w:r>
          </w:p>
        </w:tc>
        <w:tc>
          <w:p>
            <w:r>
              <w:rPr>
                <w:sz w:val="14"/>
                <w:rFonts w:ascii="Myriad Pro Light"/>
                <w:tcPr>
                  <w:vAlign w:val="center"/>
                </w:tcPr>
              </w:rPr>
              <w:t>auf anfrage für Projekte &gt; 2000 m²</w:t>
            </w:r>
          </w:p>
        </w:tc>
      </w:tr>
      <w:tr>
        <w:tc>
          <w:p>
            <w:r>
              <w:rPr>
                <w:sz w:val="14"/>
                <w:rFonts w:ascii="Myriad Pro Light"/>
                <w:tcPr>
                  <w:vAlign w:val="center"/>
                </w:tcPr>
              </w:rPr>
              <w:t>Stückzahl / qm mit traditioneller Fuge</w:t>
            </w:r>
          </w:p>
        </w:tc>
        <w:tc>
          <w:p>
            <w:r>
              <w:rPr>
                <w:sz w:val="14"/>
                <w:rFonts w:ascii="Myriad Pro Light"/>
                <w:tcPr>
                  <w:vAlign w:val="center"/>
                </w:tcPr>
              </w:rPr>
              <w:t>ca. 89</w:t>
            </w:r>
          </w:p>
        </w:tc>
        <w:tc>
          <w:p>
            <w:r>
              <w:rPr>
                <w:sz w:val="14"/>
                <w:rFonts w:ascii="Myriad Pro Light"/>
                <w:tcPr>
                  <w:vAlign w:val="center"/>
                </w:tcPr>
              </w:rPr>
              <w:t/>
            </w:r>
          </w:p>
        </w:tc>
      </w:tr>
      <w:tr>
        <w:tc>
          <w:p>
            <w:r>
              <w:rPr>
                <w:sz w:val="14"/>
                <w:rFonts w:ascii="Myriad Pro Light"/>
                <w:tcPr>
                  <w:vAlign w:val="center"/>
                </w:tcPr>
              </w:rPr>
              <w:t>Abmessungen (L x B x H)</w:t>
            </w:r>
          </w:p>
        </w:tc>
        <w:tc>
          <w:p>
            <w:r>
              <w:rPr>
                <w:sz w:val="14"/>
                <w:rFonts w:ascii="Myriad Pro Light"/>
                <w:tcPr>
                  <w:vAlign w:val="center"/>
                </w:tcPr>
              </w:rPr>
              <w:t>*212x69x104 mm</w:t>
            </w:r>
          </w:p>
        </w:tc>
        <w:tc>
          <w:p>
            <w:r>
              <w:rPr>
                <w:sz w:val="14"/>
                <w:rFonts w:ascii="Myriad Pro Light"/>
                <w:tcPr>
                  <w:vAlign w:val="center"/>
                </w:tcPr>
              </w:rPr>
              <w:t>auf anfrage für Projekte &gt; 2000 m²</w:t>
            </w:r>
          </w:p>
        </w:tc>
      </w:tr>
      <w:tr>
        <w:tc>
          <w:p>
            <w:r>
              <w:rPr>
                <w:sz w:val="14"/>
                <w:rFonts w:ascii="Myriad Pro Light"/>
                <w:tcPr>
                  <w:vAlign w:val="center"/>
                </w:tcPr>
              </w:rPr>
              <w:t>Stückzahl / qm mit traditioneller Fuge</w:t>
            </w:r>
          </w:p>
        </w:tc>
        <w:tc>
          <w:p>
            <w:r>
              <w:rPr>
                <w:sz w:val="14"/>
                <w:rFonts w:ascii="Myriad Pro Light"/>
                <w:tcPr>
                  <w:vAlign w:val="center"/>
                </w:tcPr>
              </w:rPr>
              <w:t>ca. 66</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WasseraufnahmeNBN EN 771</w:t>
            </w:r>
          </w:p>
        </w:tc>
        <w:tc>
          <w:p>
            <w:r>
              <w:rPr>
                <w:sz w:val="14"/>
                <w:rFonts w:ascii="Myriad Pro Light"/>
                <w:tcPr>
                  <w:vAlign w:val="center"/>
                </w:tcPr>
              </w:rPr>
              <w:t>Klasse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Klasse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Klasse 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Maßtoleranz</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r>
        <w:tc>
          <w:p>
            <w:r>
              <w:rPr>
                <w:sz w:val="14"/>
                <w:rFonts w:ascii="Myriad Pro Light"/>
                <w:tcPr>
                  <w:vAlign w:val="center"/>
                </w:tcPr>
              </w:rPr>
              <w:t>Rutschfestigkeit</w:t>
            </w:r>
          </w:p>
        </w:tc>
        <w:tc>
          <w:p>
            <w:r>
              <w:rPr>
                <w:sz w:val="14"/>
                <w:rFonts w:ascii="Myriad Pro Light"/>
                <w:tcPr>
                  <w:vAlign w:val="center"/>
                </w:tcPr>
              </w:rPr>
              <w:t>Klasse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Produktfoto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DecimA Safran</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