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Melange,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Braun-Rot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 0,4 √d</w:t>
            </w:r>
          </w:p>
        </w:tc>
        <w:tc>
          <w:p>
            <w:r>
              <w:rPr>
                <w:sz w:val="14"/>
                <w:rFonts w:ascii="Myriad Pro Light"/>
                <w:tcPr>
                  <w:vAlign w:val="center"/>
                </w:tcPr>
              </w:rPr>
              <w:t>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Melan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